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FCF" w:rsidRDefault="000F2FC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0F2FCF" w:rsidRDefault="000F2FCF">
      <w:pPr>
        <w:pStyle w:val="ConsPlusNormal"/>
      </w:pPr>
    </w:p>
    <w:p w:rsidR="000F2FCF" w:rsidRDefault="000F2FCF">
      <w:pPr>
        <w:pStyle w:val="ConsPlusTitle"/>
        <w:jc w:val="center"/>
      </w:pPr>
      <w:r>
        <w:t>МИНИСТЕРСТВО НАУКИ И ВЫСШЕГО ОБРАЗОВАНИЯ</w:t>
      </w:r>
    </w:p>
    <w:p w:rsidR="000F2FCF" w:rsidRDefault="000F2FCF">
      <w:pPr>
        <w:pStyle w:val="ConsPlusTitle"/>
        <w:jc w:val="center"/>
      </w:pPr>
      <w:r>
        <w:t>РОССИЙСКОЙ ФЕДЕРАЦИИ</w:t>
      </w:r>
    </w:p>
    <w:p w:rsidR="000F2FCF" w:rsidRDefault="000F2FCF">
      <w:pPr>
        <w:pStyle w:val="ConsPlusTitle"/>
        <w:ind w:firstLine="540"/>
        <w:jc w:val="both"/>
      </w:pPr>
    </w:p>
    <w:p w:rsidR="000F2FCF" w:rsidRDefault="000F2FCF">
      <w:pPr>
        <w:pStyle w:val="ConsPlusTitle"/>
        <w:jc w:val="center"/>
      </w:pPr>
      <w:r>
        <w:t>ПРИКАЗ</w:t>
      </w:r>
    </w:p>
    <w:p w:rsidR="000F2FCF" w:rsidRDefault="000F2FCF">
      <w:pPr>
        <w:pStyle w:val="ConsPlusTitle"/>
        <w:jc w:val="center"/>
      </w:pPr>
      <w:r>
        <w:t>от 24 марта 2025 г. N 266</w:t>
      </w:r>
    </w:p>
    <w:p w:rsidR="000F2FCF" w:rsidRDefault="000F2FCF">
      <w:pPr>
        <w:pStyle w:val="ConsPlusTitle"/>
        <w:ind w:firstLine="540"/>
        <w:jc w:val="both"/>
      </w:pPr>
    </w:p>
    <w:p w:rsidR="000F2FCF" w:rsidRDefault="000F2FCF">
      <w:pPr>
        <w:pStyle w:val="ConsPlusTitle"/>
        <w:jc w:val="center"/>
      </w:pPr>
      <w:r>
        <w:t>ОБ УТВЕРЖДЕНИИ ПОРЯДКА</w:t>
      </w:r>
    </w:p>
    <w:p w:rsidR="000F2FCF" w:rsidRDefault="000F2FCF">
      <w:pPr>
        <w:pStyle w:val="ConsPlusTitle"/>
        <w:jc w:val="center"/>
      </w:pPr>
      <w:r>
        <w:t>ОРГАНИЗАЦИИ И ОСУЩЕСТВЛЕНИЯ ОБРАЗОВАТЕЛЬНОЙ ДЕЯТЕЛЬНОСТИ</w:t>
      </w:r>
    </w:p>
    <w:p w:rsidR="000F2FCF" w:rsidRDefault="000F2FCF">
      <w:pPr>
        <w:pStyle w:val="ConsPlusTitle"/>
        <w:jc w:val="center"/>
      </w:pPr>
      <w:r>
        <w:t>ПО ДОПОЛНИТЕЛЬНЫМ ПРОФЕССИОНАЛЬНЫМ ПРОГРАММАМ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11 статьи 13</w:t>
        </w:r>
      </w:hyperlink>
      <w:r>
        <w:t xml:space="preserve"> Федерального закона от 29 декабря 2012 г. N 273-ФЗ "Об образовании в Российской Федерации" и </w:t>
      </w:r>
      <w:hyperlink r:id="rId6">
        <w:r>
          <w:rPr>
            <w:color w:val="0000FF"/>
          </w:rPr>
          <w:t>подпунктом 4.2.6 пункта 4</w:t>
        </w:r>
      </w:hyperlink>
      <w: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682, приказываю: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1. Утвердить по согласованию с Министерством просвещения Российской Федерации прилагаемый </w:t>
      </w:r>
      <w:hyperlink w:anchor="P34">
        <w:r>
          <w:rPr>
            <w:color w:val="0000FF"/>
          </w:rPr>
          <w:t>Порядок</w:t>
        </w:r>
      </w:hyperlink>
      <w:r>
        <w:t xml:space="preserve"> организации и осуществления образовательной деятельности по дополнительным профессиональным программам.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2. Признать утратившими силу приказы Министерства образования и науки Российской Федерации: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от 1 июля 2013 г. </w:t>
      </w:r>
      <w:hyperlink r:id="rId7">
        <w:r>
          <w:rPr>
            <w:color w:val="0000FF"/>
          </w:rPr>
          <w:t>N 499</w:t>
        </w:r>
      </w:hyperlink>
      <w:r>
        <w:t xml:space="preserve"> "Об утверждении Порядка организации и осуществления образовательной деятельности по дополнительным профессиональным программам" (зарегистрирован Министерством юстиции Российской Федерации 20 августа 2013 г., регистрационный N 29444);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от 15 ноября 2013 г. </w:t>
      </w:r>
      <w:hyperlink r:id="rId8">
        <w:r>
          <w:rPr>
            <w:color w:val="0000FF"/>
          </w:rPr>
          <w:t>N 1244</w:t>
        </w:r>
      </w:hyperlink>
      <w:r>
        <w:t xml:space="preserve"> "О внесении изменений в Порядок организации и осуществления образовательной деятельности по дополнительным профессиональным программам, утвержденный приказом Министерства образования и науки Российской Федерации от 1 июля 2013 г. N 499" (зарегистрирован Министерством юстиции Российской Федерации 14 января 2014 г., регистрационный N 31014).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2025 года и действует до 1 сентября 2031 года.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jc w:val="right"/>
      </w:pPr>
      <w:r>
        <w:t>Министр</w:t>
      </w:r>
    </w:p>
    <w:p w:rsidR="000F2FCF" w:rsidRDefault="000F2FCF">
      <w:pPr>
        <w:pStyle w:val="ConsPlusNormal"/>
        <w:jc w:val="right"/>
      </w:pPr>
      <w:r>
        <w:t>В.Н.ФАЛЬКОВ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jc w:val="right"/>
        <w:outlineLvl w:val="0"/>
      </w:pPr>
      <w:r>
        <w:t>Утвержден</w:t>
      </w:r>
    </w:p>
    <w:p w:rsidR="000F2FCF" w:rsidRDefault="000F2FCF">
      <w:pPr>
        <w:pStyle w:val="ConsPlusNormal"/>
        <w:jc w:val="right"/>
      </w:pPr>
      <w:r>
        <w:t>приказом Министерства науки</w:t>
      </w:r>
    </w:p>
    <w:p w:rsidR="000F2FCF" w:rsidRDefault="000F2FCF">
      <w:pPr>
        <w:pStyle w:val="ConsPlusNormal"/>
        <w:jc w:val="right"/>
      </w:pPr>
      <w:r>
        <w:t>и высшего образования</w:t>
      </w:r>
    </w:p>
    <w:p w:rsidR="000F2FCF" w:rsidRDefault="000F2FCF">
      <w:pPr>
        <w:pStyle w:val="ConsPlusNormal"/>
        <w:jc w:val="right"/>
      </w:pPr>
      <w:r>
        <w:t>Российской Федерации</w:t>
      </w:r>
    </w:p>
    <w:p w:rsidR="000F2FCF" w:rsidRDefault="000F2FCF">
      <w:pPr>
        <w:pStyle w:val="ConsPlusNormal"/>
        <w:jc w:val="right"/>
      </w:pPr>
      <w:r>
        <w:t>от 24 марта 2025 г. N 266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Title"/>
        <w:jc w:val="center"/>
      </w:pPr>
      <w:bookmarkStart w:id="1" w:name="P34"/>
      <w:bookmarkEnd w:id="1"/>
      <w:r>
        <w:t>ПОРЯДОК</w:t>
      </w:r>
    </w:p>
    <w:p w:rsidR="000F2FCF" w:rsidRDefault="000F2FCF">
      <w:pPr>
        <w:pStyle w:val="ConsPlusTitle"/>
        <w:jc w:val="center"/>
      </w:pPr>
      <w:r>
        <w:t>ОРГАНИЗАЦИИ И ОСУЩЕСТВЛЕНИЯ ОБРАЗОВАТЕЛЬНОЙ ДЕЯТЕЛЬНОСТИ</w:t>
      </w:r>
    </w:p>
    <w:p w:rsidR="000F2FCF" w:rsidRDefault="000F2FCF">
      <w:pPr>
        <w:pStyle w:val="ConsPlusTitle"/>
        <w:jc w:val="center"/>
      </w:pPr>
      <w:r>
        <w:t>ПО ДОПОЛНИТЕЛЬНЫМ ПРОФЕССИОНАЛЬНЫМ ПРОГРАММАМ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lastRenderedPageBreak/>
        <w:t>1. Настоящий Порядок является обязательным для организаций дополнительного профессионального образования, образовательных организаций высшего образования, профессиональных образовательных организаций, организаций, осуществляющих обучение (научные организации или иные юридические лица) (далее совместно - организация).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2. Прием на </w:t>
      </w:r>
      <w:proofErr w:type="gramStart"/>
      <w:r>
        <w:t>обучение</w:t>
      </w:r>
      <w:proofErr w:type="gramEnd"/>
      <w:r>
        <w:t xml:space="preserve"> по дополнительным профессиональным программам проводится на условиях, определяемых локальными нормативными актами организаций в соответствии с законодательством Российской Федерации &lt;1&gt;.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&lt;1&gt; </w:t>
      </w:r>
      <w:hyperlink r:id="rId9">
        <w:r>
          <w:rPr>
            <w:color w:val="0000FF"/>
          </w:rPr>
          <w:t>Часть 5 статьи 55</w:t>
        </w:r>
      </w:hyperlink>
      <w:r>
        <w:t xml:space="preserve"> Федерального закона от 29 декабря 2012 г. N 273-ФЗ "Об образовании в Российской Федерации" (далее - Федеральный закон N 273-ФЗ).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3. Организация осуществляет образовательную деятельность по дополнительной профессиональной программе на основании договора об образовании, заключаемого в простой письменной форме &lt;2&gt; с лицом, зачисляемым на обучение, и (или) с физическим или юридическим лицом, обязующимся оплатить обучение лица, зачисляемого на обучение, либо за счет бюджетных ассигнований федерального бюджета, бюджетов субъектов Российской Федерации.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0">
        <w:r>
          <w:rPr>
            <w:color w:val="0000FF"/>
          </w:rPr>
          <w:t>Часть 1 статьи 54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4. К освоению дополнительных профессиональных программ допускаются: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лица, имеющие среднее профессиональное и (или) высшее образование;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лица, получающие среднее профессиональное и (или) высшее образование &lt;3&gt;.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1">
        <w:r>
          <w:rPr>
            <w:color w:val="0000FF"/>
          </w:rPr>
          <w:t>Часть 3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5. Дополнительное профессиональное образование осуществляется посредством реализации дополнительных профессиональных программ (программ повышения квалификации и программ профессиональной переподготовки) &lt;4&gt;.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2">
        <w:r>
          <w:rPr>
            <w:color w:val="0000FF"/>
          </w:rPr>
          <w:t>Часть 2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Программа повышения квалификации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 &lt;5&gt;.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3">
        <w:r>
          <w:rPr>
            <w:color w:val="0000FF"/>
          </w:rPr>
          <w:t>Часть 4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Программа профессиональной переподготовки направлена на получение компетенции, необходимой для выполнения нового вида профессиональной деятельности, приобретение новой квалификации &lt;6&gt;.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lastRenderedPageBreak/>
        <w:t xml:space="preserve">&lt;6&gt; </w:t>
      </w:r>
      <w:hyperlink r:id="rId14">
        <w:r>
          <w:rPr>
            <w:color w:val="0000FF"/>
          </w:rPr>
          <w:t>Часть 5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6. Содержание реализуемой дополнительной профессиональной программы и (или) отдельных ее компонентов (дисциплин (модулей), практик, стажировок) должно быть направлено на достижение целей программы, планируемых результатов ее освоения.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Содержание реализуемой дополнительной профессиональной программы должно учитывать профессиональные </w:t>
      </w:r>
      <w:hyperlink r:id="rId15">
        <w:r>
          <w:rPr>
            <w:color w:val="0000FF"/>
          </w:rPr>
          <w:t>стандарты</w:t>
        </w:r>
      </w:hyperlink>
      <w:r>
        <w:t>, квалификационные требования, указанные в квалификационных справочниках по соответствующим должностям, профессиям и специальностям, или квалификационные требования к профессиональным знаниям и навыкам, необходимым для исполнения должностных обязанностей, которые устанавливаются в соответствии с федеральными законами и иными нормативными правовыми актами Российской Федерации о государственной службе &lt;7&gt;.</w:t>
      </w:r>
      <w:proofErr w:type="gramEnd"/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&lt;7&gt; </w:t>
      </w:r>
      <w:hyperlink r:id="rId16">
        <w:r>
          <w:rPr>
            <w:color w:val="0000FF"/>
          </w:rPr>
          <w:t>Часть 9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 xml:space="preserve">8. Содержание дополнительного профессионального образования определяется образовательной программой, разработанной и утвержденной организацией, если иное не установлено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законами, с учетом потребностей лица, организации, по инициативе которых осуществляется дополнительное профессиональное образование &lt;8&gt;.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&lt;8&gt; </w:t>
      </w:r>
      <w:hyperlink r:id="rId18">
        <w:r>
          <w:rPr>
            <w:color w:val="0000FF"/>
          </w:rPr>
          <w:t>Часть 6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Порядок разработки и утверждения дополнительных профессиональных программ (за исключением дополнительных профессиональных программ, содержащих сведения, составляющие государственную тайну, и дополнительных профессиональных программ в области информационной безопасности &lt;9&gt;) устанавливается локальными нормативными актами организации.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&lt;9&gt; </w:t>
      </w:r>
      <w:hyperlink r:id="rId19">
        <w:r>
          <w:rPr>
            <w:color w:val="0000FF"/>
          </w:rPr>
          <w:t>Часть 8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 xml:space="preserve">9. Программа профессиональной переподготовки разрабатывается организацией на основании установленных квалификационных требований, профессиональных </w:t>
      </w:r>
      <w:hyperlink r:id="rId20">
        <w:r>
          <w:rPr>
            <w:color w:val="0000FF"/>
          </w:rPr>
          <w:t>стандартов</w:t>
        </w:r>
      </w:hyperlink>
      <w:r>
        <w:t xml:space="preserve"> и требований соответствующих федеральных государственных образовательных </w:t>
      </w:r>
      <w:hyperlink r:id="rId21">
        <w:r>
          <w:rPr>
            <w:color w:val="0000FF"/>
          </w:rPr>
          <w:t>стандартов</w:t>
        </w:r>
      </w:hyperlink>
      <w:r>
        <w:t xml:space="preserve"> среднего профессионального и (или) высшего образования к результатам освоения образовательных программ &lt;10&gt;.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22">
        <w:r>
          <w:rPr>
            <w:color w:val="0000FF"/>
          </w:rPr>
          <w:t>Часть 10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 xml:space="preserve">10. При наличии примерной дополнительной профессиональной программы или типовой дополнительной профессиональной программы, разработанной и утвержденной уполномоченным федеральным государственным органом в случаях, установленных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N 273-ФЗ, соответствующая дополнительная профессиональная программа разрабатывается в соответствии с примерной дополнительной профессиональной программой или типовой дополнительной профессиональной программой &lt;11&gt;.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lastRenderedPageBreak/>
        <w:t xml:space="preserve">&lt;11&gt; </w:t>
      </w:r>
      <w:hyperlink r:id="rId24">
        <w:r>
          <w:rPr>
            <w:color w:val="0000FF"/>
          </w:rPr>
          <w:t>Части 14</w:t>
        </w:r>
      </w:hyperlink>
      <w:r>
        <w:t xml:space="preserve"> и </w:t>
      </w:r>
      <w:hyperlink r:id="rId25">
        <w:r>
          <w:rPr>
            <w:color w:val="0000FF"/>
          </w:rPr>
          <w:t>15 статьи 12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11. Для определения структуры дополнительной профессиональной программы и трудоемкости ее освоения может применяться система зачетных единиц. Количество зачетных единиц по дополнительной профессиональной программе устанавливается организацией &lt;12&gt;.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&lt;12&gt; </w:t>
      </w:r>
      <w:hyperlink r:id="rId26">
        <w:r>
          <w:rPr>
            <w:color w:val="0000FF"/>
          </w:rPr>
          <w:t>Части 4</w:t>
        </w:r>
      </w:hyperlink>
      <w:r>
        <w:t xml:space="preserve"> и </w:t>
      </w:r>
      <w:hyperlink r:id="rId27">
        <w:r>
          <w:rPr>
            <w:color w:val="0000FF"/>
          </w:rPr>
          <w:t>5 статьи 13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Структура дополнительной профессиональной программы включает цель, а также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форм аттестации &lt;13&gt;.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&lt;13&gt; </w:t>
      </w:r>
      <w:hyperlink r:id="rId28">
        <w:r>
          <w:rPr>
            <w:color w:val="0000FF"/>
          </w:rPr>
          <w:t>Пункт 9 статьи 2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В структуре программы повышения квалификации должно быть представлено описание перечня профессиональных компетенций в рамках имеющейся квалификации, качественное изменение которых осуществляется в результате обучения.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В структуре программы профессиональной переподготовки должны быть представлены: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характеристика новой квалификации и связанных с ней видов профессиональной деятельности, трудовых функций и (или) уровней квалификации;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характеристика компетенций, подлежащих совершенствованию, и (или) перечень новых компетенций, формирующихся в результате освоения программы.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По решению организации в состав дополнительной профессиональной программы могут быть включены иные материалы.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12. Дополнительная профессиональная программа может реализовываться полностью или частично в форме стажировки &lt;14&gt;.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&lt;14&gt; </w:t>
      </w:r>
      <w:hyperlink r:id="rId29">
        <w:r>
          <w:rPr>
            <w:color w:val="0000FF"/>
          </w:rPr>
          <w:t>Часть 12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Стажировка осуществляется в целях изучения передового опыта, в том числе зарубежного, а также закрепления теоретических знаний, полученных при освоении программ профессиональной переподготовки или повышения квалификации, и приобретения практических навыков и умений для их эффективного использования при исполнении своих должностных обязанностей.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Содержание стажировки определяется организацией с учетом предложений организаций, направляющих специалистов на стажировку, а также с учетом содержания примерных или типовых дополнительных профессиональных программ (при наличии).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Сроки стажировки определяются организацией самостоятельно исходя из целей обучения. Продолжительность стажировки согласовывается с руководителем организации, где она проводится.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lastRenderedPageBreak/>
        <w:t>Стажировка носит индивидуальный или групповой характер и может предусматривать такие виды деятельности, как: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самостоятельную работу с учебными изданиями;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приобретение профессиональных и организаторских навыков;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изучение организации и технологии производства, работ;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непосредственное участие в планировании работы организации;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работу с технической, нормативной и другой документацией;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выполнение функциональных обязанностей должностных лиц (в качестве временно исполняющего обязанности или дублера);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участие в совещаниях, деловых встречах.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По результатам прохождения стажировки слушателю выдается документ о квалификации в зависимости от реализуемой дополнительной профессиональной программы.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13. При реализации дополнительных профессиональных программ организацией может применяться форма организации образовательной деятельности, основанная на модульном принципе представления содержания дополнительной профессиональной программы и построения учебных планов, использовании различных образовательных технологий, в том числе дистанционных образовательных технологий и (или) электронного обучения &lt;15&gt;.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&lt;15&gt; </w:t>
      </w:r>
      <w:hyperlink r:id="rId30">
        <w:r>
          <w:rPr>
            <w:color w:val="0000FF"/>
          </w:rPr>
          <w:t>Часть 3 статьи 13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proofErr w:type="gramStart"/>
      <w:r>
        <w:t>Обучение по индивидуальном учебному плану в пределах осваиваемой дополнительной профессиональной программы осуществляется в порядке, установленном локальными нормативными актами организации &lt;16&gt;.</w:t>
      </w:r>
      <w:proofErr w:type="gramEnd"/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&lt;16&gt; </w:t>
      </w:r>
      <w:hyperlink r:id="rId31">
        <w:r>
          <w:rPr>
            <w:color w:val="0000FF"/>
          </w:rPr>
          <w:t>Пункт 3 части 1 статьи 34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 xml:space="preserve">14. </w:t>
      </w:r>
      <w:proofErr w:type="gramStart"/>
      <w:r>
        <w:t>Обучение</w:t>
      </w:r>
      <w:proofErr w:type="gramEnd"/>
      <w:r>
        <w:t xml:space="preserve"> по дополнительным профессиональным программам осуществляется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прохождения практики, применения сетевых форм, в порядке, установленном образовательной программой и (или) договором об образовании &lt;17&gt;.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&lt;17&gt; </w:t>
      </w:r>
      <w:hyperlink r:id="rId32">
        <w:r>
          <w:rPr>
            <w:color w:val="0000FF"/>
          </w:rPr>
          <w:t>Часть 11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15. Образовательный процесс по дополнительным профессиональным программам может осуществляться в течение всего календарного года.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Срок начала и продолжительность учебного года при организации </w:t>
      </w:r>
      <w:proofErr w:type="gramStart"/>
      <w:r>
        <w:t>обучения</w:t>
      </w:r>
      <w:proofErr w:type="gramEnd"/>
      <w:r>
        <w:t xml:space="preserve"> по дополнительным профессиональным программам определяется организацией.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Период обучения определяется календарным учебным графиком дополнительной профессиональной программы.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lastRenderedPageBreak/>
        <w:t xml:space="preserve">16. </w:t>
      </w:r>
      <w:proofErr w:type="gramStart"/>
      <w:r>
        <w:t>Образовательная деятельность обучающихся предусматривает следующие виды учебных занятий и учебных работ: лекции, практические и семинарские занятия, лабораторные работы, круглые столы, мастер-классы, мастерские, деловые игры, ролевые игры, тренинги, семинары по обмену опытом, выездные занятия, консультации, выполнение аттестационной, дипломной, проектной работы и другие виды учебных занятий и учебных работ, определенные учебным планом.</w:t>
      </w:r>
      <w:proofErr w:type="gramEnd"/>
    </w:p>
    <w:p w:rsidR="000F2FCF" w:rsidRDefault="000F2FCF">
      <w:pPr>
        <w:pStyle w:val="ConsPlusNormal"/>
        <w:spacing w:before="220"/>
        <w:ind w:firstLine="540"/>
        <w:jc w:val="both"/>
      </w:pPr>
      <w:r>
        <w:t>Для всех видов аудиторных занятий академический час устанавливается продолжительностью 45 минут.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17. Слушатель имеет право на зачет результатов освоения им учебных предметов, курсов, дисциплин (модулей), практики, дополнительных образовательных программ, подтверждаемых документами об образовании и (или) о квалификации либо </w:t>
      </w:r>
      <w:proofErr w:type="gramStart"/>
      <w:r>
        <w:t>документами</w:t>
      </w:r>
      <w:proofErr w:type="gramEnd"/>
      <w:r>
        <w:t xml:space="preserve"> об обучении, в том числе полученными в иностранном государстве, в порядке, установленном локальным нормативным актом организации &lt;18&gt;.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proofErr w:type="gramStart"/>
      <w:r>
        <w:t xml:space="preserve">&lt;18&gt; </w:t>
      </w:r>
      <w:hyperlink r:id="rId33">
        <w:r>
          <w:rPr>
            <w:color w:val="0000FF"/>
          </w:rPr>
          <w:t>Пункт 7 части 1 статьи 34</w:t>
        </w:r>
      </w:hyperlink>
      <w:r>
        <w:t xml:space="preserve"> Федерального закона N 273-ФЗ, </w:t>
      </w:r>
      <w:hyperlink r:id="rId34">
        <w:r>
          <w:rPr>
            <w:color w:val="0000FF"/>
          </w:rPr>
          <w:t>Порядок</w:t>
        </w:r>
      </w:hyperlink>
      <w:r>
        <w:t xml:space="preserve">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деятельность, утвержденный приказом Министерства науки и высшего образования Российской Федерации и Министерства просвещения Российской Федерации от 30 июля 2020 г. N 845/369 (зарегистрирован Министерством юстиции</w:t>
      </w:r>
      <w:proofErr w:type="gramEnd"/>
      <w:r>
        <w:t xml:space="preserve"> </w:t>
      </w:r>
      <w:proofErr w:type="gramStart"/>
      <w:r>
        <w:t>Российской Федерации 28 августа 2020 г., регистрационный N 59557).</w:t>
      </w:r>
      <w:proofErr w:type="gramEnd"/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18. Формы обучения и сроки освоения дополнительной профессиональной программы определяются образовательной программой и (или) договором об образовании &lt;19&gt;.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&lt;19&gt; </w:t>
      </w:r>
      <w:hyperlink r:id="rId35">
        <w:r>
          <w:rPr>
            <w:color w:val="0000FF"/>
          </w:rPr>
          <w:t>Часть 13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Срок освоения дополнительной профессиональной программы должен обеспечивать возможность достижения планируемых результатов и получение новой компетенции (квалификации), заявленных в программе.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Срок освоения программы повышения квалификация не может быть менее 16 часов, срок освоения программ профессиональной переподготовки - менее 250 часов.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19. Освоение дополнительных профессиональных программ завершается итоговой аттестацией слушателей в форме, определяемой организацией самостоятельно &lt;20&gt;.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&lt;20&gt; </w:t>
      </w:r>
      <w:hyperlink r:id="rId36">
        <w:r>
          <w:rPr>
            <w:color w:val="0000FF"/>
          </w:rPr>
          <w:t>Часть 14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20. Документы о квалификации выдаются организациями по реализуемым ими дополнительным профессиональным программам &lt;21&gt;: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&lt;21&gt; </w:t>
      </w:r>
      <w:hyperlink r:id="rId37">
        <w:r>
          <w:rPr>
            <w:color w:val="0000FF"/>
          </w:rPr>
          <w:t>Пункт 1 части 10 статьи 60</w:t>
        </w:r>
      </w:hyperlink>
      <w:r>
        <w:t xml:space="preserve"> и </w:t>
      </w:r>
      <w:hyperlink r:id="rId38">
        <w:r>
          <w:rPr>
            <w:color w:val="0000FF"/>
          </w:rPr>
          <w:t>часть 15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лицам, успешно прошедшим итоговую аттестацию по программе повышения квалификации, - удостоверение о повышении квалификации;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lastRenderedPageBreak/>
        <w:t>лицам, успешно прошедшим итоговую аттестацию по программе профессиональной переподготовки, - диплом о профессиональной переподготовке.</w:t>
      </w:r>
    </w:p>
    <w:p w:rsidR="000F2FCF" w:rsidRDefault="000F2FCF">
      <w:pPr>
        <w:pStyle w:val="ConsPlusNormal"/>
        <w:spacing w:before="220"/>
        <w:ind w:firstLine="540"/>
        <w:jc w:val="both"/>
      </w:pPr>
      <w:proofErr w:type="gramStart"/>
      <w:r>
        <w:t>Квалификация, указываемая в документе о квалификации, дает его обладателю право заниматься определенной профессиональной деятельностью и (или) выполнять конкретные трудовые функции,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образования, если иное не установлено законодательством Российской Федерации &lt;22&gt;.</w:t>
      </w:r>
      <w:proofErr w:type="gramEnd"/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&lt;22&gt; </w:t>
      </w:r>
      <w:hyperlink r:id="rId39">
        <w:r>
          <w:rPr>
            <w:color w:val="0000FF"/>
          </w:rPr>
          <w:t>Часть 11 статьи 60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 xml:space="preserve">Лицам, не прошедшим итоговую аттестацию или получившим на итоговой аттестации неудовлетворительные результаты, а также лицам, освоившим часть дополнительной профессиональной программы и (или) отчисленным из организации, выдается справка об обучении или о периоде </w:t>
      </w:r>
      <w:proofErr w:type="gramStart"/>
      <w:r>
        <w:t>обучения по образцу</w:t>
      </w:r>
      <w:proofErr w:type="gramEnd"/>
      <w:r>
        <w:t>, самостоятельно устанавливаемому организацией &lt;23&gt;.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&lt;23&gt; </w:t>
      </w:r>
      <w:hyperlink r:id="rId40">
        <w:r>
          <w:rPr>
            <w:color w:val="0000FF"/>
          </w:rPr>
          <w:t>Часть 12 статьи 60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21. Документ о квалификации выдается на бланке, образец которого самостоятельно устанавливается организацией.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При освоении дополнительной профессиональной программы параллельно с получением среднего профессионального образования и (или) высшего образования удостоверение о повышении квалификации и (или) диплом о профессиональной переподготовке выдаются одновременно с получением соответствующего документа об образовании и о квалификации &lt;24&gt;.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&lt;24&gt; </w:t>
      </w:r>
      <w:hyperlink r:id="rId41">
        <w:r>
          <w:rPr>
            <w:color w:val="0000FF"/>
          </w:rPr>
          <w:t>Часть 16 статьи 76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Документы о квалификации оформляются на государственном языке Российской Федерации и заверяются печатями организаций. Документы о квалификации могут быть также оформлены на иностранном языке в порядке, установленном организациями &lt;25&gt;.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&lt;25&gt; </w:t>
      </w:r>
      <w:hyperlink r:id="rId42">
        <w:r>
          <w:rPr>
            <w:color w:val="0000FF"/>
          </w:rPr>
          <w:t>Часть 2 статьи 60</w:t>
        </w:r>
      </w:hyperlink>
      <w:r>
        <w:t xml:space="preserve"> Федерального закона N 273-ФЗ.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  <w:r>
        <w:t>Документы о квалификации выдаются в срок, установленный локальным нормативным актом организации.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22. Оценка качества освоения дополнительных профессиональных программ проводится в отношении: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соответствия результатов освоения дополнительной профессиональной программы заявленным целям и планируемым результатам обучения;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 xml:space="preserve">соответствия процедуры (процесса) организации и осуществления дополнительной профессиональной программы установленным требованиям к структуре, порядку и условиям </w:t>
      </w:r>
      <w:r>
        <w:lastRenderedPageBreak/>
        <w:t>реализации программ;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способности организации результативно и эффективно выполнять деятельность по предоставлению образовательных услуг.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23. Оценка качества освоения дополнительных профессиональных программ проводится в следующих формах: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внутренний мониторинг качества образования;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внешняя независимая оценка качества образования.</w:t>
      </w:r>
    </w:p>
    <w:p w:rsidR="000F2FCF" w:rsidRDefault="000F2FCF">
      <w:pPr>
        <w:pStyle w:val="ConsPlusNormal"/>
        <w:spacing w:before="220"/>
        <w:ind w:firstLine="540"/>
        <w:jc w:val="both"/>
      </w:pPr>
      <w:r>
        <w:t>Организация самостоятельно устанавливает виды и формы внутренней оценки качества реализации дополнительных профессиональных программ и их результатов.</w:t>
      </w: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ind w:firstLine="540"/>
        <w:jc w:val="both"/>
      </w:pPr>
    </w:p>
    <w:p w:rsidR="000F2FCF" w:rsidRDefault="000F2FC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198E" w:rsidRDefault="009F198E"/>
    <w:sectPr w:rsidR="009F198E" w:rsidSect="00637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CF"/>
    <w:rsid w:val="000F2FCF"/>
    <w:rsid w:val="009F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2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2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2F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2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2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2F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2901&amp;dst=101008" TargetMode="External"/><Relationship Id="rId18" Type="http://schemas.openxmlformats.org/officeDocument/2006/relationships/hyperlink" Target="https://login.consultant.ru/link/?req=doc&amp;base=LAW&amp;n=532901&amp;dst=101010" TargetMode="External"/><Relationship Id="rId26" Type="http://schemas.openxmlformats.org/officeDocument/2006/relationships/hyperlink" Target="https://login.consultant.ru/link/?req=doc&amp;base=LAW&amp;n=532901&amp;dst=100241" TargetMode="External"/><Relationship Id="rId39" Type="http://schemas.openxmlformats.org/officeDocument/2006/relationships/hyperlink" Target="https://login.consultant.ru/link/?req=doc&amp;base=LAW&amp;n=532901&amp;dst=100846" TargetMode="External"/><Relationship Id="rId21" Type="http://schemas.openxmlformats.org/officeDocument/2006/relationships/hyperlink" Target="https://login.consultant.ru/link/?req=doc&amp;base=LAW&amp;n=142304" TargetMode="External"/><Relationship Id="rId34" Type="http://schemas.openxmlformats.org/officeDocument/2006/relationships/hyperlink" Target="https://login.consultant.ru/link/?req=doc&amp;base=LAW&amp;n=360918&amp;dst=100012" TargetMode="External"/><Relationship Id="rId42" Type="http://schemas.openxmlformats.org/officeDocument/2006/relationships/hyperlink" Target="https://login.consultant.ru/link/?req=doc&amp;base=LAW&amp;n=532901&amp;dst=100828" TargetMode="External"/><Relationship Id="rId7" Type="http://schemas.openxmlformats.org/officeDocument/2006/relationships/hyperlink" Target="https://login.consultant.ru/link/?req=doc&amp;base=LAW&amp;n=15769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32901&amp;dst=101013" TargetMode="External"/><Relationship Id="rId20" Type="http://schemas.openxmlformats.org/officeDocument/2006/relationships/hyperlink" Target="https://login.consultant.ru/link/?req=doc&amp;base=LAW&amp;n=157436" TargetMode="External"/><Relationship Id="rId29" Type="http://schemas.openxmlformats.org/officeDocument/2006/relationships/hyperlink" Target="https://login.consultant.ru/link/?req=doc&amp;base=LAW&amp;n=532901&amp;dst=101016" TargetMode="External"/><Relationship Id="rId41" Type="http://schemas.openxmlformats.org/officeDocument/2006/relationships/hyperlink" Target="https://login.consultant.ru/link/?req=doc&amp;base=LAW&amp;n=532901&amp;dst=10102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6599&amp;dst=100027" TargetMode="External"/><Relationship Id="rId11" Type="http://schemas.openxmlformats.org/officeDocument/2006/relationships/hyperlink" Target="https://login.consultant.ru/link/?req=doc&amp;base=LAW&amp;n=532901&amp;dst=101005" TargetMode="External"/><Relationship Id="rId24" Type="http://schemas.openxmlformats.org/officeDocument/2006/relationships/hyperlink" Target="https://login.consultant.ru/link/?req=doc&amp;base=LAW&amp;n=532901&amp;dst=100235" TargetMode="External"/><Relationship Id="rId32" Type="http://schemas.openxmlformats.org/officeDocument/2006/relationships/hyperlink" Target="https://login.consultant.ru/link/?req=doc&amp;base=LAW&amp;n=532901&amp;dst=101015" TargetMode="External"/><Relationship Id="rId37" Type="http://schemas.openxmlformats.org/officeDocument/2006/relationships/hyperlink" Target="https://login.consultant.ru/link/?req=doc&amp;base=LAW&amp;n=532901&amp;dst=100844" TargetMode="External"/><Relationship Id="rId40" Type="http://schemas.openxmlformats.org/officeDocument/2006/relationships/hyperlink" Target="https://login.consultant.ru/link/?req=doc&amp;base=LAW&amp;n=532901&amp;dst=100847" TargetMode="External"/><Relationship Id="rId5" Type="http://schemas.openxmlformats.org/officeDocument/2006/relationships/hyperlink" Target="https://login.consultant.ru/link/?req=doc&amp;base=LAW&amp;n=532901&amp;dst=215" TargetMode="External"/><Relationship Id="rId15" Type="http://schemas.openxmlformats.org/officeDocument/2006/relationships/hyperlink" Target="https://login.consultant.ru/link/?req=doc&amp;base=LAW&amp;n=157436" TargetMode="External"/><Relationship Id="rId23" Type="http://schemas.openxmlformats.org/officeDocument/2006/relationships/hyperlink" Target="https://login.consultant.ru/link/?req=doc&amp;base=LAW&amp;n=532901" TargetMode="External"/><Relationship Id="rId28" Type="http://schemas.openxmlformats.org/officeDocument/2006/relationships/hyperlink" Target="https://login.consultant.ru/link/?req=doc&amp;base=LAW&amp;n=532901&amp;dst=441" TargetMode="External"/><Relationship Id="rId36" Type="http://schemas.openxmlformats.org/officeDocument/2006/relationships/hyperlink" Target="https://login.consultant.ru/link/?req=doc&amp;base=LAW&amp;n=532901&amp;dst=101018" TargetMode="External"/><Relationship Id="rId10" Type="http://schemas.openxmlformats.org/officeDocument/2006/relationships/hyperlink" Target="https://login.consultant.ru/link/?req=doc&amp;base=LAW&amp;n=532901&amp;dst=100742" TargetMode="External"/><Relationship Id="rId19" Type="http://schemas.openxmlformats.org/officeDocument/2006/relationships/hyperlink" Target="https://login.consultant.ru/link/?req=doc&amp;base=LAW&amp;n=532901&amp;dst=256" TargetMode="External"/><Relationship Id="rId31" Type="http://schemas.openxmlformats.org/officeDocument/2006/relationships/hyperlink" Target="https://login.consultant.ru/link/?req=doc&amp;base=LAW&amp;n=532901&amp;dst=100480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2901&amp;dst=916" TargetMode="External"/><Relationship Id="rId14" Type="http://schemas.openxmlformats.org/officeDocument/2006/relationships/hyperlink" Target="https://login.consultant.ru/link/?req=doc&amp;base=LAW&amp;n=532901&amp;dst=101009" TargetMode="External"/><Relationship Id="rId22" Type="http://schemas.openxmlformats.org/officeDocument/2006/relationships/hyperlink" Target="https://login.consultant.ru/link/?req=doc&amp;base=LAW&amp;n=532901&amp;dst=101014" TargetMode="External"/><Relationship Id="rId27" Type="http://schemas.openxmlformats.org/officeDocument/2006/relationships/hyperlink" Target="https://login.consultant.ru/link/?req=doc&amp;base=LAW&amp;n=532901&amp;dst=471" TargetMode="External"/><Relationship Id="rId30" Type="http://schemas.openxmlformats.org/officeDocument/2006/relationships/hyperlink" Target="https://login.consultant.ru/link/?req=doc&amp;base=LAW&amp;n=532901&amp;dst=100240" TargetMode="External"/><Relationship Id="rId35" Type="http://schemas.openxmlformats.org/officeDocument/2006/relationships/hyperlink" Target="https://login.consultant.ru/link/?req=doc&amp;base=LAW&amp;n=532901&amp;dst=101017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15765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32901&amp;dst=101004" TargetMode="External"/><Relationship Id="rId17" Type="http://schemas.openxmlformats.org/officeDocument/2006/relationships/hyperlink" Target="https://login.consultant.ru/link/?req=doc&amp;base=LAW&amp;n=532901" TargetMode="External"/><Relationship Id="rId25" Type="http://schemas.openxmlformats.org/officeDocument/2006/relationships/hyperlink" Target="https://login.consultant.ru/link/?req=doc&amp;base=LAW&amp;n=532901&amp;dst=685" TargetMode="External"/><Relationship Id="rId33" Type="http://schemas.openxmlformats.org/officeDocument/2006/relationships/hyperlink" Target="https://login.consultant.ru/link/?req=doc&amp;base=LAW&amp;n=532901&amp;dst=373" TargetMode="External"/><Relationship Id="rId38" Type="http://schemas.openxmlformats.org/officeDocument/2006/relationships/hyperlink" Target="https://login.consultant.ru/link/?req=doc&amp;base=LAW&amp;n=532901&amp;dst=101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3092</Words>
  <Characters>17630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fdpo2</dc:creator>
  <cp:lastModifiedBy>fdpo2</cp:lastModifiedBy>
  <cp:revision>1</cp:revision>
  <dcterms:created xsi:type="dcterms:W3CDTF">2026-04-30T08:31:00Z</dcterms:created>
  <dcterms:modified xsi:type="dcterms:W3CDTF">2026-04-30T08:33:00Z</dcterms:modified>
</cp:coreProperties>
</file>